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02" w:rsidRPr="0022432E" w:rsidRDefault="00F50302" w:rsidP="005B0616">
      <w:pPr>
        <w:ind w:left="-284" w:right="-292"/>
        <w:rPr>
          <w:rStyle w:val="Nessuno"/>
          <w:i/>
          <w:iCs/>
          <w:lang w:val="it-IT"/>
        </w:rPr>
      </w:pPr>
    </w:p>
    <w:p w:rsidR="00826D90" w:rsidRPr="00826D90" w:rsidRDefault="00737B00" w:rsidP="00826D90">
      <w:pPr>
        <w:ind w:left="-284" w:right="-292"/>
        <w:rPr>
          <w:rFonts w:cs="Times New Roman"/>
          <w:i/>
          <w:lang w:val="it-IT"/>
        </w:rPr>
      </w:pPr>
      <w:r>
        <w:rPr>
          <w:rFonts w:cs="Times New Roman"/>
          <w:i/>
          <w:lang w:val="it-IT"/>
        </w:rPr>
        <w:t>Comunicato stampa n. 17</w:t>
      </w:r>
    </w:p>
    <w:p w:rsidR="009A599E" w:rsidRPr="009A599E" w:rsidRDefault="009A599E" w:rsidP="009A599E">
      <w:pPr>
        <w:ind w:left="-284"/>
        <w:jc w:val="both"/>
        <w:rPr>
          <w:rFonts w:cs="Times New Roman"/>
          <w:b/>
          <w:sz w:val="28"/>
          <w:szCs w:val="28"/>
          <w:lang w:val="it-IT"/>
        </w:rPr>
      </w:pPr>
      <w:r w:rsidRPr="009A599E">
        <w:rPr>
          <w:rFonts w:cs="Times New Roman"/>
          <w:b/>
          <w:sz w:val="28"/>
          <w:szCs w:val="28"/>
          <w:lang w:val="it-IT"/>
        </w:rPr>
        <w:t>Il concorso “Novità Tecniche” debutta nell’universo virtuale di EDP</w:t>
      </w:r>
    </w:p>
    <w:p w:rsidR="009A599E" w:rsidRPr="009A599E" w:rsidRDefault="009A599E" w:rsidP="009A599E">
      <w:pPr>
        <w:ind w:left="-284"/>
        <w:jc w:val="both"/>
        <w:rPr>
          <w:rFonts w:cs="Times New Roman"/>
          <w:b/>
          <w:sz w:val="28"/>
          <w:szCs w:val="28"/>
          <w:lang w:val="it-IT"/>
        </w:rPr>
      </w:pPr>
    </w:p>
    <w:p w:rsidR="009A599E" w:rsidRPr="009A599E" w:rsidRDefault="009A599E" w:rsidP="009A599E">
      <w:pPr>
        <w:ind w:left="-284"/>
        <w:jc w:val="both"/>
        <w:rPr>
          <w:rFonts w:cs="Times New Roman"/>
          <w:b/>
          <w:i/>
          <w:lang w:val="it-IT"/>
        </w:rPr>
      </w:pPr>
      <w:r w:rsidRPr="009A599E">
        <w:rPr>
          <w:rFonts w:cs="Times New Roman"/>
          <w:b/>
          <w:i/>
          <w:lang w:val="it-IT"/>
        </w:rPr>
        <w:t xml:space="preserve">L’edizione 2020/21 del concorso “Novità Tecniche”, dedicato alle innovazioni tecnologiche realizzate dalle industrie espositrici di EIMA International, parte </w:t>
      </w:r>
      <w:bookmarkStart w:id="0" w:name="_GoBack"/>
      <w:bookmarkEnd w:id="0"/>
      <w:r w:rsidRPr="009A599E">
        <w:rPr>
          <w:rFonts w:cs="Times New Roman"/>
          <w:b/>
          <w:i/>
          <w:lang w:val="it-IT"/>
        </w:rPr>
        <w:t>con una prima tranche che si svolge online sulla piattaforma di EDP, l’anteprima virtuale della rassegna fisica. In questa tornata iniziale premiate</w:t>
      </w:r>
      <w:r w:rsidR="00D916EC">
        <w:rPr>
          <w:rFonts w:cs="Times New Roman"/>
          <w:b/>
          <w:i/>
          <w:lang w:val="it-IT"/>
        </w:rPr>
        <w:t xml:space="preserve"> </w:t>
      </w:r>
      <w:r w:rsidRPr="009A599E">
        <w:rPr>
          <w:rFonts w:cs="Times New Roman"/>
          <w:b/>
          <w:i/>
          <w:lang w:val="it-IT"/>
        </w:rPr>
        <w:t xml:space="preserve">43 soluzioni inedite: 15 come </w:t>
      </w:r>
      <w:r w:rsidR="00D916EC">
        <w:rPr>
          <w:rFonts w:cs="Times New Roman"/>
          <w:b/>
          <w:i/>
          <w:lang w:val="it-IT"/>
        </w:rPr>
        <w:t xml:space="preserve"> </w:t>
      </w:r>
      <w:r w:rsidRPr="009A599E">
        <w:rPr>
          <w:rFonts w:cs="Times New Roman"/>
          <w:b/>
          <w:i/>
          <w:lang w:val="it-IT"/>
        </w:rPr>
        <w:t xml:space="preserve"> “Novità Tecniche”, 28 come “Segnalazioni Tecniche”. Nonostante le difficoltà create dall’emergenza sanitaria la partecipazione al concorso è stata molto elevata.</w:t>
      </w:r>
    </w:p>
    <w:p w:rsidR="009A599E" w:rsidRPr="009A599E" w:rsidRDefault="009A599E" w:rsidP="009A599E">
      <w:pPr>
        <w:ind w:left="-284"/>
        <w:jc w:val="both"/>
        <w:rPr>
          <w:rFonts w:cs="Times New Roman"/>
          <w:lang w:val="it-IT"/>
        </w:rPr>
      </w:pPr>
    </w:p>
    <w:p w:rsidR="009A599E" w:rsidRPr="009A599E" w:rsidRDefault="009A599E" w:rsidP="009A599E">
      <w:pPr>
        <w:ind w:left="-284"/>
        <w:jc w:val="both"/>
        <w:rPr>
          <w:rFonts w:cs="Times New Roman"/>
          <w:sz w:val="23"/>
          <w:szCs w:val="23"/>
          <w:lang w:val="it-IT"/>
        </w:rPr>
      </w:pPr>
      <w:r w:rsidRPr="009A599E">
        <w:rPr>
          <w:rFonts w:cs="Times New Roman"/>
          <w:sz w:val="23"/>
          <w:szCs w:val="23"/>
          <w:lang w:val="it-IT"/>
        </w:rPr>
        <w:t xml:space="preserve">Dal sollevatore telescopico elettrico “zero emissioni” alla prima macchina per la raccolta dei meloni, dal bracciolo di bioplastica alla trattrice ad avanzamento autonomo con intelligenza  artificiale, fino al dispositivo di visione multispettrale che rileva in tempo reale le necessità delle piante in termini di azoto, regolatori di crescita e defoliante. L’edizione 2020/21 del prestigioso </w:t>
      </w:r>
      <w:hyperlink r:id="rId6" w:history="1">
        <w:r w:rsidRPr="000658D9">
          <w:rPr>
            <w:rStyle w:val="Collegamentoipertestuale"/>
            <w:rFonts w:cs="Times New Roman"/>
            <w:sz w:val="23"/>
            <w:szCs w:val="23"/>
            <w:lang w:val="it-IT"/>
          </w:rPr>
          <w:t>concorso Novità Tecniche</w:t>
        </w:r>
      </w:hyperlink>
      <w:r w:rsidRPr="009A599E">
        <w:rPr>
          <w:rFonts w:cs="Times New Roman"/>
          <w:sz w:val="23"/>
          <w:szCs w:val="23"/>
          <w:lang w:val="it-IT"/>
        </w:rPr>
        <w:t>, che premia le innovazioni tecnologiche più significative proposte dalle industrie espositrici di EIMA International, quest’anno inizia</w:t>
      </w:r>
      <w:r w:rsidR="00D916EC">
        <w:rPr>
          <w:rFonts w:cs="Times New Roman"/>
          <w:sz w:val="23"/>
          <w:szCs w:val="23"/>
          <w:lang w:val="it-IT"/>
        </w:rPr>
        <w:t xml:space="preserve"> </w:t>
      </w:r>
      <w:r w:rsidRPr="009A599E">
        <w:rPr>
          <w:rFonts w:cs="Times New Roman"/>
          <w:sz w:val="23"/>
          <w:szCs w:val="23"/>
          <w:lang w:val="it-IT"/>
        </w:rPr>
        <w:t>online nell’universo virtuale di</w:t>
      </w:r>
      <w:r w:rsidR="00D916EC">
        <w:rPr>
          <w:rFonts w:cs="Times New Roman"/>
          <w:sz w:val="23"/>
          <w:szCs w:val="23"/>
          <w:lang w:val="it-IT"/>
        </w:rPr>
        <w:t xml:space="preserve"> </w:t>
      </w:r>
      <w:r w:rsidRPr="009A599E">
        <w:rPr>
          <w:rFonts w:cs="Times New Roman"/>
          <w:sz w:val="23"/>
          <w:szCs w:val="23"/>
          <w:lang w:val="it-IT"/>
        </w:rPr>
        <w:t>EIMA Digital Preview (EDP)per concludersi con l’edizione fisica di EIMA International, che si svolgerà nel 2021. Una specifica sezione della piattaforma EDP (denominata appunto “Novità Tecniche”)</w:t>
      </w:r>
      <w:r w:rsidR="00D916EC">
        <w:rPr>
          <w:rFonts w:cs="Times New Roman"/>
          <w:sz w:val="23"/>
          <w:szCs w:val="23"/>
          <w:lang w:val="it-IT"/>
        </w:rPr>
        <w:t xml:space="preserve"> </w:t>
      </w:r>
      <w:r w:rsidRPr="009A599E">
        <w:rPr>
          <w:rFonts w:cs="Times New Roman"/>
          <w:sz w:val="23"/>
          <w:szCs w:val="23"/>
          <w:lang w:val="it-IT"/>
        </w:rPr>
        <w:t>è infatti appositamente dedicata al concorso: in questo spazio i visitatori potranno scoprire</w:t>
      </w:r>
      <w:r w:rsidR="00D916EC">
        <w:rPr>
          <w:rFonts w:cs="Times New Roman"/>
          <w:sz w:val="23"/>
          <w:szCs w:val="23"/>
          <w:lang w:val="it-IT"/>
        </w:rPr>
        <w:t xml:space="preserve"> </w:t>
      </w:r>
      <w:r w:rsidRPr="009A599E">
        <w:rPr>
          <w:rFonts w:cs="Times New Roman"/>
          <w:sz w:val="23"/>
          <w:szCs w:val="23"/>
          <w:lang w:val="it-IT"/>
        </w:rPr>
        <w:t>dall’11 al 15 novembre le soluzioni premiate dalla giuria, mentre</w:t>
      </w:r>
      <w:r w:rsidR="00D916EC">
        <w:rPr>
          <w:rFonts w:cs="Times New Roman"/>
          <w:sz w:val="23"/>
          <w:szCs w:val="23"/>
          <w:lang w:val="it-IT"/>
        </w:rPr>
        <w:t xml:space="preserve"> </w:t>
      </w:r>
      <w:r w:rsidRPr="009A599E">
        <w:rPr>
          <w:rFonts w:cs="Times New Roman"/>
          <w:sz w:val="23"/>
          <w:szCs w:val="23"/>
          <w:lang w:val="it-IT"/>
        </w:rPr>
        <w:t>giovedì 12 novembre con inizio alle 16</w:t>
      </w:r>
      <w:r w:rsidR="00D916EC">
        <w:rPr>
          <w:rFonts w:cs="Times New Roman"/>
          <w:sz w:val="23"/>
          <w:szCs w:val="23"/>
          <w:lang w:val="it-IT"/>
        </w:rPr>
        <w:t xml:space="preserve"> </w:t>
      </w:r>
      <w:r w:rsidRPr="009A599E">
        <w:rPr>
          <w:rFonts w:cs="Times New Roman"/>
          <w:sz w:val="23"/>
          <w:szCs w:val="23"/>
          <w:lang w:val="it-IT"/>
        </w:rPr>
        <w:t>si svolgerà un evento di presentazione nello spazio live della piattaforma stessa denominato Agorà.</w:t>
      </w:r>
    </w:p>
    <w:p w:rsidR="009A599E" w:rsidRPr="009A599E" w:rsidRDefault="009A599E" w:rsidP="009A599E">
      <w:pPr>
        <w:ind w:left="-284"/>
        <w:jc w:val="both"/>
        <w:rPr>
          <w:rFonts w:cs="Times New Roman"/>
          <w:sz w:val="23"/>
          <w:szCs w:val="23"/>
          <w:lang w:val="it-IT"/>
        </w:rPr>
      </w:pPr>
      <w:r w:rsidRPr="009A599E">
        <w:rPr>
          <w:rFonts w:cs="Times New Roman"/>
          <w:sz w:val="23"/>
          <w:szCs w:val="23"/>
          <w:lang w:val="it-IT"/>
        </w:rPr>
        <w:t>Nonostante lo scenario economico generale presenti ancora elementi d’incertezza, finora</w:t>
      </w:r>
      <w:r w:rsidR="00D916EC">
        <w:rPr>
          <w:rFonts w:cs="Times New Roman"/>
          <w:sz w:val="23"/>
          <w:szCs w:val="23"/>
          <w:lang w:val="it-IT"/>
        </w:rPr>
        <w:t xml:space="preserve"> </w:t>
      </w:r>
      <w:r w:rsidRPr="009A599E">
        <w:rPr>
          <w:rFonts w:cs="Times New Roman"/>
          <w:sz w:val="23"/>
          <w:szCs w:val="23"/>
          <w:lang w:val="it-IT"/>
        </w:rPr>
        <w:t>il concorso ha già</w:t>
      </w:r>
      <w:r w:rsidR="00D916EC">
        <w:rPr>
          <w:rFonts w:cs="Times New Roman"/>
          <w:sz w:val="23"/>
          <w:szCs w:val="23"/>
          <w:lang w:val="it-IT"/>
        </w:rPr>
        <w:t xml:space="preserve"> </w:t>
      </w:r>
      <w:r w:rsidRPr="009A599E">
        <w:rPr>
          <w:rFonts w:cs="Times New Roman"/>
          <w:sz w:val="23"/>
          <w:szCs w:val="23"/>
          <w:lang w:val="it-IT"/>
        </w:rPr>
        <w:t xml:space="preserve">registrato una partecipazione molto elevata da parte delle aziende espositrici - spiega FederUnacoma, l’associazione italiana dei costruttori di macchine agricole, organizzatrice diretta di EDP e di EIMA International </w:t>
      </w:r>
      <w:r w:rsidR="00D916EC">
        <w:rPr>
          <w:rFonts w:cs="Times New Roman"/>
          <w:sz w:val="23"/>
          <w:szCs w:val="23"/>
          <w:lang w:val="it-IT"/>
        </w:rPr>
        <w:t>-</w:t>
      </w:r>
      <w:r w:rsidRPr="009A599E">
        <w:rPr>
          <w:rFonts w:cs="Times New Roman"/>
          <w:sz w:val="23"/>
          <w:szCs w:val="23"/>
          <w:lang w:val="it-IT"/>
        </w:rPr>
        <w:t xml:space="preserve"> e questo rappresenta un indicatore molto importante della vivacità e delle competitività del settore.</w:t>
      </w:r>
    </w:p>
    <w:p w:rsidR="009A599E" w:rsidRPr="009A599E" w:rsidRDefault="009A599E" w:rsidP="009A599E">
      <w:pPr>
        <w:ind w:left="-284"/>
        <w:jc w:val="both"/>
        <w:rPr>
          <w:rFonts w:cs="Times New Roman"/>
          <w:sz w:val="23"/>
          <w:szCs w:val="23"/>
          <w:lang w:val="it-IT"/>
        </w:rPr>
      </w:pPr>
      <w:r w:rsidRPr="009A599E">
        <w:rPr>
          <w:rFonts w:cs="Times New Roman"/>
          <w:sz w:val="23"/>
          <w:szCs w:val="23"/>
          <w:lang w:val="it-IT"/>
        </w:rPr>
        <w:t>Complessivamente, la giuria di esperti ha premiato ben 43 innovazioni</w:t>
      </w:r>
      <w:r w:rsidR="00D916EC">
        <w:rPr>
          <w:rFonts w:cs="Times New Roman"/>
          <w:sz w:val="23"/>
          <w:szCs w:val="23"/>
          <w:lang w:val="it-IT"/>
        </w:rPr>
        <w:t xml:space="preserve"> </w:t>
      </w:r>
      <w:r w:rsidRPr="009A599E">
        <w:rPr>
          <w:rFonts w:cs="Times New Roman"/>
          <w:sz w:val="23"/>
          <w:szCs w:val="23"/>
          <w:lang w:val="it-IT"/>
        </w:rPr>
        <w:t xml:space="preserve">riferite ad un’ampia rosa di categorie merceologiche: </w:t>
      </w:r>
      <w:r w:rsidRPr="009A599E">
        <w:rPr>
          <w:rFonts w:eastAsia="Calibri" w:cs="Times New Roman"/>
          <w:sz w:val="23"/>
          <w:szCs w:val="23"/>
          <w:lang w:val="it-IT" w:eastAsia="en-US"/>
        </w:rPr>
        <w:t>15 come “Novità Tecniche” propriamente dette, vale a dire tecnologie che si impongono per lo spiccato carattere innovativo, 28 come “Segnalazioni Tecniche”, vale a dire macchine, dispostivi e sistemi che si sono comunque distinti per efficienza e capacità di migliorare le performance dei mezzi meccanici per l’agricoltura. Ma questa prima parte dell’edizione ‘20-‘21del concorso ha visto in primo piano anche le tecnologie dell’agricoltura 4.0 e quelle finalizzate ad incrementare la sostenibilità ambientale dei macchinari agricoli. Molte delle soluzioni proposte dalle aziende erano infatti focalizzate sulla r</w:t>
      </w:r>
      <w:r w:rsidRPr="009A599E">
        <w:rPr>
          <w:rFonts w:cs="Times New Roman"/>
          <w:sz w:val="23"/>
          <w:szCs w:val="23"/>
          <w:lang w:val="it-IT"/>
        </w:rPr>
        <w:t>iduzione delle emissioni inquinanti, sullo sviluppo di nuovi materiali eco-compatibili, sull’automazione, sulla robotizzazione e sui sistemi lavorazione</w:t>
      </w:r>
      <w:r w:rsidR="00D916EC">
        <w:rPr>
          <w:rFonts w:cs="Times New Roman"/>
          <w:sz w:val="23"/>
          <w:szCs w:val="23"/>
          <w:lang w:val="it-IT"/>
        </w:rPr>
        <w:t xml:space="preserve"> </w:t>
      </w:r>
      <w:r w:rsidRPr="009A599E">
        <w:rPr>
          <w:rFonts w:cs="Times New Roman"/>
          <w:i/>
          <w:sz w:val="23"/>
          <w:szCs w:val="23"/>
          <w:lang w:val="it-IT"/>
        </w:rPr>
        <w:t>on demand</w:t>
      </w:r>
      <w:r w:rsidRPr="009A599E">
        <w:rPr>
          <w:rFonts w:cs="Times New Roman"/>
          <w:sz w:val="23"/>
          <w:szCs w:val="23"/>
          <w:lang w:val="it-IT"/>
        </w:rPr>
        <w:t xml:space="preserve">; tecnologie di ultima generazione che, sempre più diffuse nel settore primario, sono già alla portata di aziende agricole e contoterzisti. </w:t>
      </w:r>
    </w:p>
    <w:p w:rsidR="009A599E" w:rsidRPr="009A599E" w:rsidRDefault="009A599E" w:rsidP="009A599E">
      <w:pPr>
        <w:ind w:left="-284"/>
        <w:jc w:val="both"/>
        <w:rPr>
          <w:rFonts w:cs="Times New Roman"/>
          <w:sz w:val="23"/>
          <w:szCs w:val="23"/>
          <w:lang w:val="it-IT"/>
        </w:rPr>
      </w:pPr>
      <w:r w:rsidRPr="009A599E">
        <w:rPr>
          <w:rFonts w:cs="Times New Roman"/>
          <w:sz w:val="23"/>
          <w:szCs w:val="23"/>
          <w:lang w:val="it-IT"/>
        </w:rPr>
        <w:t>Secondo FederUnacoma, il successo che il concorso “Novità Tecniche” sta ottenendo, sia come numero di adesioni che come qualità delle innovazioni proposte all’attenzione della giuria, proprio perché maturato in uno scenario così incerto, testimonia</w:t>
      </w:r>
      <w:r w:rsidR="00D916EC">
        <w:rPr>
          <w:rFonts w:cs="Times New Roman"/>
          <w:sz w:val="23"/>
          <w:szCs w:val="23"/>
          <w:lang w:val="it-IT"/>
        </w:rPr>
        <w:t xml:space="preserve"> </w:t>
      </w:r>
      <w:r w:rsidRPr="009A599E">
        <w:rPr>
          <w:rFonts w:cs="Times New Roman"/>
          <w:sz w:val="23"/>
          <w:szCs w:val="23"/>
          <w:lang w:val="it-IT"/>
        </w:rPr>
        <w:t>la grande volontà delle imprese di puntare sulla ricerca per tornare a fare business e conferma i segnali di ripresa del mercato che stanno arrivando da diversi Paesi (anche extraeuropei).</w:t>
      </w:r>
      <w:r w:rsidR="00D916EC">
        <w:rPr>
          <w:rFonts w:cs="Times New Roman"/>
          <w:sz w:val="23"/>
          <w:szCs w:val="23"/>
          <w:lang w:val="it-IT"/>
        </w:rPr>
        <w:t xml:space="preserve"> </w:t>
      </w:r>
      <w:r w:rsidRPr="009A599E">
        <w:rPr>
          <w:rFonts w:cs="Times New Roman"/>
          <w:sz w:val="23"/>
          <w:szCs w:val="23"/>
          <w:lang w:val="it-IT"/>
        </w:rPr>
        <w:t>EIMA Digital Preview</w:t>
      </w:r>
      <w:r w:rsidR="00D916EC">
        <w:rPr>
          <w:rFonts w:cs="Times New Roman"/>
          <w:sz w:val="23"/>
          <w:szCs w:val="23"/>
          <w:lang w:val="it-IT"/>
        </w:rPr>
        <w:t xml:space="preserve"> </w:t>
      </w:r>
      <w:r w:rsidRPr="009A599E">
        <w:rPr>
          <w:rFonts w:cs="Times New Roman"/>
          <w:sz w:val="23"/>
          <w:szCs w:val="23"/>
          <w:lang w:val="it-IT"/>
        </w:rPr>
        <w:t>è dunque l’evento che metterà nuovamente a contatto le tecnologie prodotte dalle industrie di settore con le esigenze dell’agricoltura nelle diverse aree del mondo.</w:t>
      </w:r>
    </w:p>
    <w:p w:rsidR="00737B00" w:rsidRPr="00737B00" w:rsidRDefault="00737B00" w:rsidP="005B0616">
      <w:pPr>
        <w:ind w:left="-284" w:right="-292"/>
        <w:jc w:val="both"/>
        <w:rPr>
          <w:rFonts w:cs="Times New Roman"/>
          <w:lang w:val="it-IT"/>
        </w:rPr>
      </w:pPr>
    </w:p>
    <w:p w:rsidR="006810E8" w:rsidRPr="005B0616" w:rsidRDefault="00737B00" w:rsidP="005B0616">
      <w:pPr>
        <w:ind w:left="-284" w:right="-292"/>
        <w:jc w:val="both"/>
        <w:rPr>
          <w:rFonts w:cs="Times New Roman"/>
          <w:b/>
          <w:bCs/>
          <w:lang w:val="it-IT"/>
        </w:rPr>
      </w:pPr>
      <w:r>
        <w:rPr>
          <w:rFonts w:cs="Times New Roman"/>
          <w:b/>
          <w:bCs/>
          <w:lang w:val="it-IT"/>
        </w:rPr>
        <w:t xml:space="preserve">Roma, 5 </w:t>
      </w:r>
      <w:r w:rsidR="006810E8" w:rsidRPr="006810E8">
        <w:rPr>
          <w:rFonts w:cs="Times New Roman"/>
          <w:b/>
          <w:bCs/>
          <w:lang w:val="it-IT"/>
        </w:rPr>
        <w:t>novembre</w:t>
      </w:r>
      <w:r w:rsidR="008553FB" w:rsidRPr="006810E8">
        <w:rPr>
          <w:rFonts w:cs="Times New Roman"/>
          <w:b/>
          <w:bCs/>
          <w:lang w:val="it-IT"/>
        </w:rPr>
        <w:t xml:space="preserve"> 202</w:t>
      </w:r>
      <w:r w:rsidR="005B0616">
        <w:rPr>
          <w:rFonts w:cs="Times New Roman"/>
          <w:b/>
          <w:bCs/>
          <w:lang w:val="it-IT"/>
        </w:rPr>
        <w:t>0</w:t>
      </w:r>
    </w:p>
    <w:sectPr w:rsidR="006810E8" w:rsidRPr="005B0616" w:rsidSect="00826D90">
      <w:headerReference w:type="default" r:id="rId7"/>
      <w:footerReference w:type="default" r:id="rId8"/>
      <w:pgSz w:w="11900" w:h="16840"/>
      <w:pgMar w:top="0" w:right="560" w:bottom="284" w:left="3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3C5" w:rsidRDefault="005433C5">
      <w:r>
        <w:separator/>
      </w:r>
    </w:p>
  </w:endnote>
  <w:endnote w:type="continuationSeparator" w:id="1">
    <w:p w:rsidR="005433C5" w:rsidRDefault="00543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rsidRDefault="00F50302">
    <w:pPr>
      <w:pStyle w:val="Intestazioneepidipagin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3C5" w:rsidRDefault="005433C5">
      <w:r>
        <w:separator/>
      </w:r>
    </w:p>
  </w:footnote>
  <w:footnote w:type="continuationSeparator" w:id="1">
    <w:p w:rsidR="005433C5" w:rsidRDefault="00543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rsidRDefault="00E617EF">
    <w:pPr>
      <w:pStyle w:val="Intestazione"/>
      <w:tabs>
        <w:tab w:val="clear" w:pos="9638"/>
        <w:tab w:val="right" w:pos="7485"/>
      </w:tabs>
    </w:pPr>
    <w:r>
      <w:rPr>
        <w:noProof/>
        <w:lang w:val="it-IT"/>
      </w:rPr>
      <w:pict>
        <v:roundrect id="_x0000_s2050" style="position:absolute;margin-left:0;margin-top:0;width:595pt;height:842pt;z-index:-251658240;visibility:visible;mso-wrap-distance-left:12pt;mso-wrap-distance-top:12pt;mso-wrap-distance-right:12pt;mso-wrap-distance-bottom:12pt;mso-position-horizontal-relative:page;mso-position-vertical-relative:page" arcsize="13107f" stroked="f" strokeweight="1pt">
          <v:stroke miterlimit="4" joinstyle="miter"/>
          <w10:wrap anchorx="page" anchory="page"/>
        </v:roundrect>
      </w:pict>
    </w:r>
    <w:r w:rsidR="00097B12">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w:pict>
        <v:rect id="officeArt object" o:spid="_x0000_s2049"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" stroked="f" strokeweight="1pt">
          <v:stroke miterlimit="4"/>
          <v:textbox inset="3.6pt,,3.6pt">
            <w:txbxContent>
              <w:p w:rsidR="00F50302" w:rsidRDefault="00E617EF">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5433C5">
                  <w:rPr>
                    <w:rStyle w:val="Nessuno"/>
                    <w:noProof/>
                  </w:rPr>
                  <w:t>1</w:t>
                </w:r>
                <w:r>
                  <w:rPr>
                    <w:rStyle w:val="Nessuno"/>
                  </w:rPr>
                  <w:fldChar w:fldCharType="end"/>
                </w: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savePreviewPicture/>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F50302"/>
    <w:rsid w:val="000658D9"/>
    <w:rsid w:val="000953A3"/>
    <w:rsid w:val="00097B12"/>
    <w:rsid w:val="000E0DB4"/>
    <w:rsid w:val="000E71A7"/>
    <w:rsid w:val="00124A76"/>
    <w:rsid w:val="00155345"/>
    <w:rsid w:val="0018354D"/>
    <w:rsid w:val="001C1C60"/>
    <w:rsid w:val="0022432E"/>
    <w:rsid w:val="00256769"/>
    <w:rsid w:val="002C1AD0"/>
    <w:rsid w:val="003076AD"/>
    <w:rsid w:val="003241F7"/>
    <w:rsid w:val="00330ADB"/>
    <w:rsid w:val="00333081"/>
    <w:rsid w:val="00364712"/>
    <w:rsid w:val="00395CEF"/>
    <w:rsid w:val="00406182"/>
    <w:rsid w:val="004330CB"/>
    <w:rsid w:val="00477EB0"/>
    <w:rsid w:val="00486E84"/>
    <w:rsid w:val="004F7D4D"/>
    <w:rsid w:val="005433C5"/>
    <w:rsid w:val="005760BB"/>
    <w:rsid w:val="005B0616"/>
    <w:rsid w:val="00643058"/>
    <w:rsid w:val="00677CC8"/>
    <w:rsid w:val="006810E8"/>
    <w:rsid w:val="006B52C1"/>
    <w:rsid w:val="006C0D12"/>
    <w:rsid w:val="006C65AF"/>
    <w:rsid w:val="006D0827"/>
    <w:rsid w:val="00737B00"/>
    <w:rsid w:val="007A2D4F"/>
    <w:rsid w:val="007C7957"/>
    <w:rsid w:val="00826D90"/>
    <w:rsid w:val="008440C0"/>
    <w:rsid w:val="008553FB"/>
    <w:rsid w:val="00892EB6"/>
    <w:rsid w:val="00896574"/>
    <w:rsid w:val="008C6C11"/>
    <w:rsid w:val="009234B5"/>
    <w:rsid w:val="00967353"/>
    <w:rsid w:val="009A599E"/>
    <w:rsid w:val="009C0F34"/>
    <w:rsid w:val="00A440F2"/>
    <w:rsid w:val="00B21437"/>
    <w:rsid w:val="00C03358"/>
    <w:rsid w:val="00C111DE"/>
    <w:rsid w:val="00C15314"/>
    <w:rsid w:val="00C3470B"/>
    <w:rsid w:val="00C83B9F"/>
    <w:rsid w:val="00C93831"/>
    <w:rsid w:val="00D406B4"/>
    <w:rsid w:val="00D560A4"/>
    <w:rsid w:val="00D916EC"/>
    <w:rsid w:val="00E617EF"/>
    <w:rsid w:val="00F46B54"/>
    <w:rsid w:val="00F50302"/>
    <w:rsid w:val="00FB63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406B4"/>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ma.it/it/concorso-novita-tecniche-eima.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577</Words>
  <Characters>3291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6</cp:revision>
  <dcterms:created xsi:type="dcterms:W3CDTF">2020-11-05T08:56:00Z</dcterms:created>
  <dcterms:modified xsi:type="dcterms:W3CDTF">2020-11-05T11:40:00Z</dcterms:modified>
</cp:coreProperties>
</file>